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743"/>
        <w:gridCol w:w="1735"/>
        <w:gridCol w:w="3638"/>
      </w:tblGrid>
      <w:tr w:rsidR="003D7CAB" w:rsidRPr="003D7CAB" w:rsidTr="006C089E">
        <w:trPr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A7A31" w:rsidRDefault="00245CA0" w:rsidP="0092329F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</w:rPr>
            </w:pPr>
            <w:r w:rsidRPr="002A7A3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7E6644" w:rsidRPr="002A7A31">
              <w:rPr>
                <w:rFonts w:ascii="Arial" w:hAnsi="Arial" w:cs="Arial"/>
                <w:b/>
                <w:noProof/>
                <w:color w:val="auto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2C0D2F" wp14:editId="550277C6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10501630</wp:posOffset>
                      </wp:positionV>
                      <wp:extent cx="508000" cy="0"/>
                      <wp:effectExtent l="0" t="0" r="0" b="4445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0"/>
                                  </w:tblGrid>
                                  <w:tr w:rsidR="003B10C9">
                                    <w:tc>
                                      <w:tcPr>
                                        <w:tcW w:w="450" w:type="dxa"/>
                                      </w:tcPr>
                                      <w:p w:rsidR="003B10C9" w:rsidRDefault="003B10C9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AA5A2A" w:rsidRDefault="00AA5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05pt;margin-top:826.9pt;width: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mmsg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"/>
                            </w:tblGrid>
                            <w:tr w:rsidR="003B10C9">
                              <w:tc>
                                <w:tcPr>
                                  <w:tcW w:w="450" w:type="dxa"/>
                                </w:tcPr>
                                <w:p w:rsidR="003B10C9" w:rsidRDefault="003B10C9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AA5A2A" w:rsidRDefault="00AA5A2A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3B10C9" w:rsidRPr="002A7A31">
              <w:rPr>
                <w:rFonts w:ascii="Arial" w:eastAsiaTheme="minorEastAsia" w:hAnsi="Arial" w:cs="Arial"/>
                <w:b/>
                <w:bCs/>
                <w:i/>
                <w:iCs/>
                <w:color w:val="auto"/>
              </w:rPr>
              <w:t>REPOSITORIO NACIONAL EN CIENCIA Y TECNOLOGIA</w:t>
            </w:r>
          </w:p>
        </w:tc>
      </w:tr>
      <w:tr w:rsidR="003D7CAB" w:rsidRPr="003D7CAB" w:rsidTr="006C089E">
        <w:trPr>
          <w:trHeight w:val="4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2A7A31" w:rsidRDefault="003B10C9" w:rsidP="0092329F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</w:rPr>
            </w:pPr>
            <w:r w:rsidRPr="002A7A31">
              <w:rPr>
                <w:rFonts w:ascii="Arial" w:eastAsiaTheme="minorEastAsia" w:hAnsi="Arial" w:cs="Arial"/>
                <w:b/>
                <w:color w:val="auto"/>
              </w:rPr>
              <w:t>FICHA DE REGISTRO DE TESIS</w:t>
            </w:r>
          </w:p>
        </w:tc>
      </w:tr>
      <w:tr w:rsidR="003D7CAB" w:rsidRPr="003D7CAB" w:rsidTr="006C089E">
        <w:trPr>
          <w:trHeight w:val="3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08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TÍTULO Y SUBTÍTULO:</w:t>
            </w:r>
            <w:r w:rsidR="007E6644" w:rsidRPr="003D7CAB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D67A79" w:rsidRP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 xml:space="preserve">Propuesta de plan de gestión integral para los residuos sólidos generados en las cabeceras parroquiales de </w:t>
            </w:r>
            <w:proofErr w:type="spellStart"/>
            <w:r w:rsidR="00D67A79" w:rsidRP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>Ducur</w:t>
            </w:r>
            <w:proofErr w:type="spellEnd"/>
            <w:r w:rsidR="00D67A79" w:rsidRP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 xml:space="preserve"> y </w:t>
            </w:r>
            <w:proofErr w:type="spellStart"/>
            <w:r w:rsidR="00D67A79" w:rsidRP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>Chontamarca</w:t>
            </w:r>
            <w:proofErr w:type="spellEnd"/>
            <w:r w:rsidR="00D67A79" w:rsidRP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 xml:space="preserve"> del cantón Cañar, provincia de Cañar</w:t>
            </w:r>
            <w:r w:rsidR="00D67A79">
              <w:rPr>
                <w:rFonts w:ascii="Arial" w:hAnsi="Arial" w:cs="Arial"/>
                <w:bCs/>
                <w:sz w:val="18"/>
                <w:szCs w:val="18"/>
                <w:lang w:val="es-EC"/>
              </w:rPr>
              <w:t>.</w:t>
            </w:r>
          </w:p>
        </w:tc>
      </w:tr>
      <w:tr w:rsidR="003D7CAB" w:rsidRPr="003D7CAB" w:rsidTr="006C089E">
        <w:trPr>
          <w:trHeight w:val="1058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112176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AUTOR/ ES:</w:t>
            </w:r>
          </w:p>
          <w:p w:rsidR="002A7A31" w:rsidRPr="00112176" w:rsidRDefault="002A7A31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</w:p>
          <w:p w:rsidR="003B10C9" w:rsidRPr="003D7CAB" w:rsidRDefault="00112176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>Quindi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>Pichasaca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 xml:space="preserve"> José Bolívar</w:t>
            </w:r>
          </w:p>
          <w:bookmarkEnd w:id="0"/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112176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REVISORES:</w:t>
            </w:r>
          </w:p>
          <w:p w:rsidR="002A7A31" w:rsidRPr="00112176" w:rsidRDefault="002A7A31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</w:p>
          <w:p w:rsidR="007E6644" w:rsidRPr="00112176" w:rsidRDefault="00112176" w:rsidP="007E6644">
            <w:pPr>
              <w:pStyle w:val="Default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1217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Rosado Alcarria Daniel Jesús</w:t>
            </w: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112176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INSTITUCIÓN: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</w:t>
            </w:r>
            <w:r w:rsidR="007E6644" w:rsidRPr="00112176">
              <w:rPr>
                <w:rFonts w:ascii="Arial" w:hAnsi="Arial" w:cs="Arial"/>
                <w:bCs/>
                <w:sz w:val="20"/>
                <w:szCs w:val="20"/>
                <w:lang w:val="es-EC"/>
              </w:rPr>
              <w:t>Universidad Técnica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112176"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>Particular de Loja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FACULTAD: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lang w:val="es-EC"/>
              </w:rPr>
              <w:t xml:space="preserve"> </w:t>
            </w:r>
            <w:r w:rsidR="007E6644" w:rsidRPr="0011217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C"/>
              </w:rPr>
              <w:t>No aplica</w:t>
            </w:r>
          </w:p>
        </w:tc>
      </w:tr>
      <w:tr w:rsidR="003D7CAB" w:rsidRPr="003D7CAB" w:rsidTr="006C089E">
        <w:trPr>
          <w:trHeight w:val="36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112176" w:rsidRDefault="003B10C9" w:rsidP="00C8380B">
            <w:pPr>
              <w:pStyle w:val="Default"/>
              <w:rPr>
                <w:rFonts w:ascii="Arial" w:eastAsiaTheme="minorEastAsia" w:hAnsi="Arial" w:cs="Arial"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CARRERA: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 xml:space="preserve"> </w:t>
            </w:r>
            <w:r w:rsidR="003D2EBB"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>Ingeniero</w:t>
            </w:r>
            <w:r w:rsidR="00112176">
              <w:rPr>
                <w:rFonts w:ascii="Arial" w:hAnsi="Arial" w:cs="Arial"/>
                <w:bCs/>
                <w:color w:val="auto"/>
                <w:sz w:val="20"/>
                <w:szCs w:val="20"/>
                <w:lang w:val="es-EC"/>
              </w:rPr>
              <w:t xml:space="preserve"> en Gestión Ambiental</w:t>
            </w: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112176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FECHA DE PUBLICACION:</w:t>
            </w:r>
            <w:r w:rsidR="007E6644" w:rsidRPr="003D7CA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 xml:space="preserve"> </w:t>
            </w:r>
            <w:r w:rsidR="007E6644" w:rsidRPr="0011217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C"/>
              </w:rPr>
              <w:t>DATO QUE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11217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C"/>
              </w:rPr>
              <w:t>PONE LA SECRETARIA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112176" w:rsidRDefault="003B10C9" w:rsidP="0011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Nª DE PÁGS: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</w:t>
            </w:r>
            <w:r w:rsidR="00AA5A66">
              <w:rPr>
                <w:rFonts w:ascii="Arial" w:hAnsi="Arial" w:cs="Arial"/>
                <w:bCs/>
                <w:sz w:val="20"/>
                <w:szCs w:val="20"/>
                <w:lang w:val="es-EC"/>
              </w:rPr>
              <w:t>90</w:t>
            </w:r>
          </w:p>
        </w:tc>
      </w:tr>
      <w:tr w:rsidR="003D7CAB" w:rsidRPr="003D7CAB" w:rsidTr="009D1033">
        <w:trPr>
          <w:trHeight w:val="101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Default="003B10C9" w:rsidP="00453BD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D570D3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ÁREAS TEMÁTICAS:</w:t>
            </w:r>
          </w:p>
          <w:p w:rsidR="003D2EBB" w:rsidRPr="009D1033" w:rsidRDefault="003D2EBB" w:rsidP="00453BD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Gestión integral </w:t>
            </w:r>
          </w:p>
        </w:tc>
      </w:tr>
      <w:tr w:rsidR="003D7CAB" w:rsidRPr="003D7CAB" w:rsidTr="009D1033">
        <w:trPr>
          <w:trHeight w:val="10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D570D3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PALABRAS CLAVE:</w:t>
            </w:r>
          </w:p>
          <w:p w:rsidR="003D2EBB" w:rsidRPr="009D1033" w:rsidRDefault="003D2EBB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hyperlink r:id="rId8" w:tgtFrame="AbxMain" w:history="1">
              <w:r>
                <w:rPr>
                  <w:rStyle w:val="Hipervnculo"/>
                  <w:rFonts w:ascii="Verdana" w:hAnsi="Verdana"/>
                  <w:color w:val="8F2323"/>
                  <w:sz w:val="17"/>
                  <w:szCs w:val="17"/>
                </w:rPr>
                <w:t>Análisis del impacto ambiental</w:t>
              </w:r>
            </w:hyperlink>
            <w:hyperlink r:id="rId9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 xml:space="preserve"> – Cañar  (Azogues</w:t>
              </w:r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, Ecuador) </w:t>
              </w:r>
            </w:hyperlink>
            <w:r>
              <w:rPr>
                <w:rFonts w:ascii="Verdana" w:hAnsi="Verdana"/>
                <w:color w:val="20365E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20365E"/>
                <w:sz w:val="17"/>
                <w:szCs w:val="17"/>
              </w:rPr>
              <w:br/>
            </w:r>
            <w:hyperlink r:id="rId10" w:tgtFrame="AbxMain" w:history="1">
              <w:r>
                <w:rPr>
                  <w:rStyle w:val="Hipervnculo"/>
                  <w:rFonts w:ascii="Verdana" w:hAnsi="Verdana"/>
                  <w:color w:val="FF0000"/>
                  <w:sz w:val="17"/>
                  <w:szCs w:val="17"/>
                </w:rPr>
                <w:t>Residuos sólidos</w:t>
              </w:r>
            </w:hyperlink>
            <w:hyperlink r:id="rId11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 xml:space="preserve"> - </w:t>
              </w:r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Gestión integral</w:t>
              </w:r>
            </w:hyperlink>
            <w:r>
              <w:rPr>
                <w:rFonts w:ascii="Verdana" w:hAnsi="Verdana"/>
                <w:color w:val="20365E"/>
                <w:sz w:val="17"/>
                <w:szCs w:val="17"/>
              </w:rPr>
              <w:t>  </w:t>
            </w:r>
            <w:r>
              <w:rPr>
                <w:rFonts w:ascii="Verdana" w:hAnsi="Verdana"/>
                <w:color w:val="20365E"/>
                <w:sz w:val="17"/>
                <w:szCs w:val="17"/>
              </w:rPr>
              <w:br/>
            </w:r>
            <w:hyperlink r:id="rId12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Medio ambiente</w:t>
              </w:r>
            </w:hyperlink>
            <w:hyperlink r:id="rId13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 xml:space="preserve"> - </w:t>
              </w:r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Encuestas sociales</w:t>
              </w:r>
            </w:hyperlink>
            <w:r>
              <w:rPr>
                <w:rFonts w:ascii="Verdana" w:hAnsi="Verdana"/>
                <w:color w:val="20365E"/>
                <w:sz w:val="17"/>
                <w:szCs w:val="17"/>
              </w:rPr>
              <w:t>  </w:t>
            </w:r>
            <w:r>
              <w:rPr>
                <w:rFonts w:ascii="Verdana" w:hAnsi="Verdana"/>
                <w:color w:val="20365E"/>
                <w:sz w:val="17"/>
                <w:szCs w:val="17"/>
              </w:rPr>
              <w:br/>
            </w:r>
            <w:hyperlink r:id="rId14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Ingeniero en </w:t>
              </w:r>
              <w:r>
                <w:rPr>
                  <w:rStyle w:val="Hipervnculo"/>
                  <w:rFonts w:ascii="Verdana" w:hAnsi="Verdana"/>
                  <w:color w:val="FF0000"/>
                  <w:sz w:val="17"/>
                  <w:szCs w:val="17"/>
                </w:rPr>
                <w:t>gestión</w:t>
              </w:r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 ambiental</w:t>
              </w:r>
            </w:hyperlink>
            <w:hyperlink r:id="rId15" w:tgtFrame="AbxMain" w:history="1"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 xml:space="preserve"> - </w:t>
              </w:r>
              <w:r>
                <w:rPr>
                  <w:rStyle w:val="Hipervnculo"/>
                  <w:rFonts w:ascii="Verdana" w:hAnsi="Verdana"/>
                  <w:color w:val="20365E"/>
                  <w:sz w:val="17"/>
                  <w:szCs w:val="17"/>
                </w:rPr>
                <w:t>Tesis y disertaciones académicas</w:t>
              </w:r>
            </w:hyperlink>
          </w:p>
        </w:tc>
      </w:tr>
      <w:tr w:rsidR="003D7CAB" w:rsidRPr="003D7CAB" w:rsidTr="007E6644">
        <w:trPr>
          <w:trHeight w:val="17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D570D3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D570D3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RESUMEN:</w:t>
            </w:r>
          </w:p>
          <w:p w:rsidR="00E01550" w:rsidRPr="00E01550" w:rsidRDefault="00E01550" w:rsidP="00E01550">
            <w:pPr>
              <w:pStyle w:val="Default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En el presente trabajo de investigación se realizó la Propuesta de plan de gestión integral para los residuos sólidos generados en las cabeceras parroquiales de </w:t>
            </w:r>
            <w:proofErr w:type="spellStart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Ducur</w:t>
            </w:r>
            <w:proofErr w:type="spellEnd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Chontamarca</w:t>
            </w:r>
            <w:proofErr w:type="spellEnd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del cantón Cañar, provincia de Cañar</w:t>
            </w:r>
          </w:p>
          <w:p w:rsidR="00E01550" w:rsidRPr="00E01550" w:rsidRDefault="00E01550" w:rsidP="00E01550">
            <w:pPr>
              <w:pStyle w:val="Default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El trabajo comenzó con la evaluación de la situación actual del sistema de gestión de residuos sólidos, se aplicaron encuestas a los habitantes, entrevistas a las autoridades parroquiales, trabajadores encargados de recolección, barrido de calles y trabajadores del relleno sanitario y visitas de observación a las cabeceras parroquiales y relleno sanitario de </w:t>
            </w:r>
            <w:proofErr w:type="spellStart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Yuracasha</w:t>
            </w:r>
            <w:proofErr w:type="spellEnd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. Se caracterizaron los residuos sólidos mediante un programa de monitoreo con siete muestreos, indicando que las dos cabeceras parroquiales tienen en promedio una tasa de generación per cápita de 0,48 kg/</w:t>
            </w:r>
            <w:proofErr w:type="spellStart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hab</w:t>
            </w:r>
            <w:proofErr w:type="spellEnd"/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*día, y una densidad de 589,3 kg/m3. También se encontró que los habitantes no clasifican correctamente los residuos de sus hogares, mezclando los residuos orgánicos con los inorgánicos ocasionando malestares con la recolección y manejo de los residuos.</w:t>
            </w:r>
          </w:p>
          <w:p w:rsidR="003B10C9" w:rsidRPr="003D7CAB" w:rsidRDefault="00E01550" w:rsidP="00E01550">
            <w:pPr>
              <w:pStyle w:val="Default"/>
              <w:jc w:val="both"/>
              <w:rPr>
                <w:rFonts w:ascii="Arial" w:eastAsiaTheme="minorEastAsia" w:hAnsi="Arial" w:cs="Arial"/>
                <w:b/>
                <w:color w:val="auto"/>
              </w:rPr>
            </w:pPr>
            <w:r w:rsidRPr="00E0155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Se propuso un plan de gestión que está conformado por cuatro programas: educación ambiental, recolección y transporte, segregación y almacenamiento, y aprovechamiento de residuos sólidos</w:t>
            </w:r>
            <w:r w:rsidRPr="00E01550">
              <w:rPr>
                <w:rFonts w:ascii="Arial" w:eastAsiaTheme="minorEastAsia" w:hAnsi="Arial" w:cs="Arial"/>
                <w:b/>
                <w:color w:val="auto"/>
              </w:rPr>
              <w:t>.</w:t>
            </w:r>
          </w:p>
        </w:tc>
      </w:tr>
      <w:tr w:rsidR="003D7CAB" w:rsidRPr="003D7CAB" w:rsidTr="006C089E">
        <w:trPr>
          <w:trHeight w:val="68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Nº DE REGISTRO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</w:t>
            </w:r>
            <w:r w:rsidRPr="00A0706B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  <w:t>(en base de datos):</w:t>
            </w:r>
          </w:p>
          <w:p w:rsidR="003B10C9" w:rsidRPr="003D7CAB" w:rsidRDefault="003D2EBB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Verdana" w:hAnsi="Verdana"/>
                <w:sz w:val="17"/>
                <w:szCs w:val="17"/>
              </w:rPr>
              <w:t>1284776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Nº DE CLASIFICACIÓN:</w:t>
            </w:r>
          </w:p>
          <w:p w:rsidR="003B10C9" w:rsidRPr="003D7CAB" w:rsidRDefault="003D2EBB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Verdana" w:hAnsi="Verdana"/>
                <w:color w:val="20365E"/>
                <w:sz w:val="17"/>
                <w:szCs w:val="17"/>
              </w:rPr>
              <w:t>363.7285866</w:t>
            </w:r>
          </w:p>
        </w:tc>
      </w:tr>
      <w:tr w:rsidR="003D7CAB" w:rsidRPr="003D7CAB" w:rsidTr="006C089E">
        <w:trPr>
          <w:trHeight w:val="5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DIRECCIÓN URL (tesis en la web):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EC"/>
              </w:rPr>
              <w:t xml:space="preserve"> </w:t>
            </w:r>
            <w:r w:rsidR="007E6644" w:rsidRPr="00A0706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C"/>
              </w:rPr>
              <w:t>COLOCA BIBLIOTECA LUEGO DE INGRESAR LA TESIS AL DSPACE</w:t>
            </w:r>
          </w:p>
        </w:tc>
      </w:tr>
      <w:tr w:rsidR="003D7CAB" w:rsidRPr="003D7CAB" w:rsidTr="006C089E">
        <w:trPr>
          <w:trHeight w:val="3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ADJUNTO PDF: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</w:t>
            </w: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SI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</w:t>
            </w:r>
            <w:r w:rsidR="00A0706B">
              <w:rPr>
                <w:rFonts w:ascii="Arial" w:eastAsiaTheme="minorEastAsia" w:hAnsi="Arial" w:cs="Arial"/>
                <w:color w:val="auto"/>
              </w:rPr>
              <w:t>x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 NO </w:t>
            </w:r>
          </w:p>
        </w:tc>
      </w:tr>
      <w:tr w:rsidR="003D7CAB" w:rsidRPr="003D7CAB" w:rsidTr="006C089E">
        <w:trPr>
          <w:trHeight w:val="38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CONTACTO CON AUTOR/ES: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A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 xml:space="preserve">Teléfono: </w:t>
            </w:r>
            <w:r w:rsidR="00A0706B" w:rsidRPr="00A0706B">
              <w:rPr>
                <w:rFonts w:ascii="Arial" w:eastAsiaTheme="minorEastAsia" w:hAnsi="Arial" w:cs="Arial"/>
              </w:rPr>
              <w:t>0984041119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A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 xml:space="preserve">E-mail:  </w:t>
            </w:r>
            <w:r w:rsidR="00A0706B">
              <w:rPr>
                <w:rFonts w:ascii="Arial" w:hAnsi="Arial" w:cs="Arial"/>
                <w:bCs/>
                <w:sz w:val="20"/>
                <w:szCs w:val="20"/>
                <w:lang w:val="es-EC"/>
              </w:rPr>
              <w:t>qbolivar@hotmail.es</w:t>
            </w:r>
          </w:p>
        </w:tc>
      </w:tr>
      <w:tr w:rsidR="003D7CAB" w:rsidRPr="003D7CAB" w:rsidTr="007E6644">
        <w:trPr>
          <w:trHeight w:val="28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CONTACTO EN LA INSTITUCIÓN: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682472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Nombre: </w:t>
            </w:r>
            <w:r w:rsidRPr="002A7A31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PH D</w:t>
            </w:r>
            <w:r w:rsidR="00EE16C3" w:rsidRPr="002A7A31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. </w:t>
            </w:r>
            <w:r w:rsidRPr="002A7A3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Santiago Acosta </w:t>
            </w:r>
            <w:proofErr w:type="spellStart"/>
            <w:r w:rsidRPr="002A7A3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Aide</w:t>
            </w:r>
            <w:proofErr w:type="spellEnd"/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Teléfono:  </w:t>
            </w:r>
            <w:r w:rsidR="00760E93" w:rsidRPr="00A0706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073701444</w:t>
            </w:r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0706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0706B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E-mail:  </w:t>
            </w:r>
            <w:r w:rsidR="00EE16C3" w:rsidRPr="00A0706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gkrios@utpl.edu.ec</w:t>
            </w:r>
          </w:p>
        </w:tc>
      </w:tr>
    </w:tbl>
    <w:p w:rsidR="00245CA0" w:rsidRPr="003B10C9" w:rsidRDefault="00245CA0" w:rsidP="00F13757">
      <w:pPr>
        <w:jc w:val="center"/>
      </w:pPr>
    </w:p>
    <w:sectPr w:rsidR="00245CA0" w:rsidRPr="003B10C9" w:rsidSect="00D736EB">
      <w:headerReference w:type="default" r:id="rId16"/>
      <w:footerReference w:type="default" r:id="rId17"/>
      <w:pgSz w:w="11907" w:h="16840" w:code="9"/>
      <w:pgMar w:top="680" w:right="386" w:bottom="164" w:left="5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F8" w:rsidRDefault="00957EF8" w:rsidP="003B10C9">
      <w:pPr>
        <w:spacing w:after="0" w:line="240" w:lineRule="auto"/>
      </w:pPr>
      <w:r>
        <w:separator/>
      </w:r>
    </w:p>
  </w:endnote>
  <w:endnote w:type="continuationSeparator" w:id="0">
    <w:p w:rsidR="00957EF8" w:rsidRDefault="00957EF8" w:rsidP="003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 w:rsidP="003B10C9">
    <w:pPr>
      <w:pStyle w:val="Piedepgina"/>
      <w:jc w:val="center"/>
    </w:pPr>
    <w:r w:rsidRPr="003B10C9">
      <w:rPr>
        <w:b/>
      </w:rPr>
      <w:t>Quito:</w:t>
    </w:r>
    <w:r w:rsidRPr="003B10C9">
      <w:t xml:space="preserve"> Av. </w:t>
    </w:r>
    <w:proofErr w:type="spellStart"/>
    <w:r w:rsidRPr="003B10C9">
      <w:t>Whymper</w:t>
    </w:r>
    <w:proofErr w:type="spellEnd"/>
    <w:r w:rsidRPr="003B10C9">
      <w:t xml:space="preserve"> E7-37 y </w:t>
    </w:r>
    <w:proofErr w:type="spellStart"/>
    <w:r w:rsidRPr="003B10C9">
      <w:t>Alpallana</w:t>
    </w:r>
    <w:proofErr w:type="spellEnd"/>
    <w:r w:rsidRPr="003B10C9">
      <w:t>, edificio Delfos, teléfonos (593-2) 2505660/ 1; y en la Av. 9 de octubre 624 y Carrión, edificio Prometeo, teléfonos 2569898/ 9. Fax: (593 2) 250-9054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F8" w:rsidRDefault="00957EF8" w:rsidP="003B10C9">
      <w:pPr>
        <w:spacing w:after="0" w:line="240" w:lineRule="auto"/>
      </w:pPr>
      <w:r>
        <w:separator/>
      </w:r>
    </w:p>
  </w:footnote>
  <w:footnote w:type="continuationSeparator" w:id="0">
    <w:p w:rsidR="00957EF8" w:rsidRDefault="00957EF8" w:rsidP="003B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22755" cy="946150"/>
          <wp:effectExtent l="19050" t="0" r="0" b="0"/>
          <wp:docPr id="13" name="Imagen 13" descr="C:\Documents and Settings\USUARIO\Mis documentos\Mis imágenes\Nueva ima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USUARIO\Mis documentos\Mis imágenes\Nueva image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190115" cy="946150"/>
          <wp:effectExtent l="19050" t="0" r="635" b="0"/>
          <wp:docPr id="15" name="Imagen 15" descr="C:\Documents and Settings\USUARIO\Mis documentos\Mis imágenes\Nueva imag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USUARIO\Mis documentos\Mis imágenes\Nueva imagen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509520" cy="871855"/>
          <wp:effectExtent l="19050" t="0" r="5080" b="0"/>
          <wp:docPr id="17" name="Imagen 17" descr="senes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s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5"/>
    <w:rsid w:val="00086724"/>
    <w:rsid w:val="00112176"/>
    <w:rsid w:val="00187BCC"/>
    <w:rsid w:val="00245CA0"/>
    <w:rsid w:val="00262C4E"/>
    <w:rsid w:val="00281875"/>
    <w:rsid w:val="002A7A31"/>
    <w:rsid w:val="002E0FD7"/>
    <w:rsid w:val="002F5DD4"/>
    <w:rsid w:val="00334421"/>
    <w:rsid w:val="003465E4"/>
    <w:rsid w:val="003B10C9"/>
    <w:rsid w:val="003D2EBB"/>
    <w:rsid w:val="003D7CAB"/>
    <w:rsid w:val="00453BDF"/>
    <w:rsid w:val="00586A8C"/>
    <w:rsid w:val="0059547A"/>
    <w:rsid w:val="00633AA3"/>
    <w:rsid w:val="00655920"/>
    <w:rsid w:val="00682472"/>
    <w:rsid w:val="006C089E"/>
    <w:rsid w:val="0075112E"/>
    <w:rsid w:val="00760E93"/>
    <w:rsid w:val="00782C5B"/>
    <w:rsid w:val="00785A24"/>
    <w:rsid w:val="007E6644"/>
    <w:rsid w:val="0084495D"/>
    <w:rsid w:val="008B3680"/>
    <w:rsid w:val="008F6A04"/>
    <w:rsid w:val="00957EF8"/>
    <w:rsid w:val="009D1033"/>
    <w:rsid w:val="00A0706B"/>
    <w:rsid w:val="00A67C2B"/>
    <w:rsid w:val="00AA5A2A"/>
    <w:rsid w:val="00AA5A66"/>
    <w:rsid w:val="00AB0EB6"/>
    <w:rsid w:val="00B70387"/>
    <w:rsid w:val="00BD3520"/>
    <w:rsid w:val="00BD48F8"/>
    <w:rsid w:val="00BD6195"/>
    <w:rsid w:val="00C33533"/>
    <w:rsid w:val="00C60204"/>
    <w:rsid w:val="00C8380B"/>
    <w:rsid w:val="00CF5E34"/>
    <w:rsid w:val="00D2740E"/>
    <w:rsid w:val="00D5492C"/>
    <w:rsid w:val="00D570D3"/>
    <w:rsid w:val="00D6445E"/>
    <w:rsid w:val="00D67A79"/>
    <w:rsid w:val="00D736EB"/>
    <w:rsid w:val="00DA0C4B"/>
    <w:rsid w:val="00DE42C2"/>
    <w:rsid w:val="00DF3A38"/>
    <w:rsid w:val="00DF68F5"/>
    <w:rsid w:val="00E01550"/>
    <w:rsid w:val="00E34210"/>
    <w:rsid w:val="00E42DCF"/>
    <w:rsid w:val="00E8491C"/>
    <w:rsid w:val="00EE16C3"/>
    <w:rsid w:val="00F12102"/>
    <w:rsid w:val="00F13757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D2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D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utpl.utpl.edu.ec/absysnet/abnetcl.exe/X7272/ID7f602cc0/NT209?ACC=600&amp;NAUT=124506&amp;SAUT=An%00e1lisis+del+impacto+ambiental" TargetMode="External"/><Relationship Id="rId13" Type="http://schemas.openxmlformats.org/officeDocument/2006/relationships/hyperlink" Target="https://bibliotecautpl.utpl.edu.ec/absysnet/abnetcl.exe/X7272/ID7f602cc0/NT209?ACC=600&amp;NAUT=158361&amp;SAUT=--+-Encuestas+social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tecautpl.utpl.edu.ec/absysnet/abnetcl.exe/X7272/ID7f602cc0/NT209?ACC=600&amp;NAUT=78494&amp;SAUT=Medio+ambien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utpl.utpl.edu.ec/absysnet/abnetcl.exe/X7272/ID7f602cc0/NT209?ACC=600&amp;NAUT=147458&amp;SAUT=--+-Gesti%00f3n+integ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cautpl.utpl.edu.ec/absysnet/abnetcl.exe/X7272/ID7f602cc0/NT209?ACC=600&amp;NAUT=130639&amp;SAUT=--+-Tesis+y+disertaciones+acad%00e9micas" TargetMode="External"/><Relationship Id="rId10" Type="http://schemas.openxmlformats.org/officeDocument/2006/relationships/hyperlink" Target="https://bibliotecautpl.utpl.edu.ec/absysnet/abnetcl.exe/X7272/ID7f602cc0/NT209?ACC=600&amp;NAUT=84849&amp;SAUT=Residuos+s%00f3lid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tecautpl.utpl.edu.ec/absysnet/abnetcl.exe/X7272/ID7f602cc0/NT209?ACC=600&amp;NAUT=153360&amp;SAUT=--+-Cuenca+(Azuay,+Ecuador)+" TargetMode="External"/><Relationship Id="rId14" Type="http://schemas.openxmlformats.org/officeDocument/2006/relationships/hyperlink" Target="https://bibliotecautpl.utpl.edu.ec/absysnet/abnetcl.exe/X7272/ID7f602cc0/NT209?ACC=600&amp;NAUT=114074&amp;SAUT=Ingeniero+en+gesti%00f3n+ambi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854C-23C9-4E3A-B22C-EB4830A1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 A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A</dc:title>
  <dc:creator>Diego Cevallos</dc:creator>
  <cp:lastModifiedBy>1103742480: Robinzon Patricio Quezada Poma</cp:lastModifiedBy>
  <cp:revision>14</cp:revision>
  <dcterms:created xsi:type="dcterms:W3CDTF">2016-10-05T20:03:00Z</dcterms:created>
  <dcterms:modified xsi:type="dcterms:W3CDTF">2018-10-23T23:23:00Z</dcterms:modified>
</cp:coreProperties>
</file>